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20" w:rsidRPr="00103620" w:rsidRDefault="00103620" w:rsidP="00103620">
      <w:pPr>
        <w:autoSpaceDE w:val="0"/>
        <w:autoSpaceDN w:val="0"/>
        <w:adjustRightInd w:val="0"/>
        <w:textAlignment w:val="center"/>
        <w:rPr>
          <w:rFonts w:ascii="Gill Sans" w:hAnsi="Gill Sans" w:cs="Calibri"/>
          <w:b/>
          <w:i/>
          <w:color w:val="000000" w:themeColor="text1"/>
          <w:sz w:val="26"/>
          <w:szCs w:val="26"/>
        </w:rPr>
      </w:pPr>
      <w:r w:rsidRPr="00103620">
        <w:rPr>
          <w:rFonts w:ascii="Gill Sans" w:hAnsi="Gill Sans" w:cs="Calibri"/>
          <w:b/>
          <w:bCs/>
          <w:i/>
          <w:color w:val="000000"/>
          <w:sz w:val="26"/>
          <w:szCs w:val="26"/>
        </w:rPr>
        <w:t xml:space="preserve">Ewiger </w:t>
      </w:r>
      <w:r w:rsidRPr="00103620">
        <w:rPr>
          <w:rFonts w:ascii="Gill Sans" w:hAnsi="Gill Sans" w:cs="Calibri"/>
          <w:b/>
          <w:i/>
          <w:color w:val="000000"/>
          <w:sz w:val="26"/>
          <w:szCs w:val="26"/>
        </w:rPr>
        <w:t xml:space="preserve">Kreislauf - </w:t>
      </w:r>
      <w:r w:rsidRPr="00103620">
        <w:rPr>
          <w:rFonts w:ascii="Gill Sans" w:hAnsi="Gill Sans" w:cs="Calibri"/>
          <w:b/>
          <w:i/>
          <w:color w:val="000000" w:themeColor="text1"/>
          <w:sz w:val="26"/>
          <w:szCs w:val="26"/>
        </w:rPr>
        <w:t>Zirkuläres Bauen für die Fraunhofer-</w:t>
      </w:r>
      <w:proofErr w:type="spellStart"/>
      <w:r w:rsidRPr="00103620">
        <w:rPr>
          <w:rFonts w:ascii="Gill Sans" w:hAnsi="Gill Sans" w:cs="Calibri"/>
          <w:b/>
          <w:i/>
          <w:color w:val="000000" w:themeColor="text1"/>
          <w:sz w:val="26"/>
          <w:szCs w:val="26"/>
        </w:rPr>
        <w:t>Zirkularitäts</w:t>
      </w:r>
      <w:proofErr w:type="spellEnd"/>
      <w:r w:rsidRPr="00103620">
        <w:rPr>
          <w:rFonts w:ascii="Gill Sans" w:hAnsi="Gill Sans" w:cs="Calibri"/>
          <w:b/>
          <w:i/>
          <w:color w:val="000000" w:themeColor="text1"/>
          <w:sz w:val="26"/>
          <w:szCs w:val="26"/>
        </w:rPr>
        <w:t>-Experten</w:t>
      </w:r>
    </w:p>
    <w:p w:rsidR="00103620" w:rsidRPr="00103620" w:rsidRDefault="00103620" w:rsidP="00103620">
      <w:pPr>
        <w:pStyle w:val="Subhead"/>
        <w:spacing w:line="240" w:lineRule="auto"/>
        <w:ind w:left="0"/>
        <w:rPr>
          <w:rFonts w:ascii="Gill Sans" w:hAnsi="Gill Sans" w:cs="Calibri"/>
          <w:color w:val="000000" w:themeColor="text1"/>
          <w:sz w:val="22"/>
          <w:szCs w:val="22"/>
        </w:rPr>
      </w:pPr>
    </w:p>
    <w:p w:rsidR="00103620" w:rsidRPr="00103620" w:rsidRDefault="00103620" w:rsidP="00103620">
      <w:pPr>
        <w:autoSpaceDE w:val="0"/>
        <w:autoSpaceDN w:val="0"/>
        <w:adjustRightInd w:val="0"/>
        <w:textAlignment w:val="center"/>
        <w:rPr>
          <w:rFonts w:ascii="Gill Sans" w:hAnsi="Gill Sans" w:cs="Calibri"/>
          <w:color w:val="000000"/>
          <w:spacing w:val="2"/>
          <w:sz w:val="22"/>
          <w:szCs w:val="22"/>
        </w:rPr>
      </w:pPr>
      <w:r w:rsidRPr="00103620">
        <w:rPr>
          <w:rFonts w:ascii="Gill Sans" w:hAnsi="Gill Sans" w:cs="Calibri"/>
          <w:color w:val="000000"/>
          <w:sz w:val="22"/>
          <w:szCs w:val="22"/>
        </w:rPr>
        <w:t xml:space="preserve">Bei der Eröffnung des neuen Forschungsgebäudes des Fraunhofer IWKS brachte Andreas </w:t>
      </w:r>
      <w:proofErr w:type="spellStart"/>
      <w:r w:rsidRPr="00103620">
        <w:rPr>
          <w:rFonts w:ascii="Gill Sans" w:hAnsi="Gill Sans" w:cs="Calibri"/>
          <w:color w:val="000000"/>
          <w:sz w:val="22"/>
          <w:szCs w:val="22"/>
        </w:rPr>
        <w:t>Meuer</w:t>
      </w:r>
      <w:proofErr w:type="spellEnd"/>
      <w:r w:rsidRPr="00103620">
        <w:rPr>
          <w:rFonts w:ascii="Gill Sans" w:hAnsi="Gill Sans" w:cs="Calibri"/>
          <w:color w:val="000000"/>
          <w:sz w:val="22"/>
          <w:szCs w:val="22"/>
        </w:rPr>
        <w:t>, Vorstand der Fraunhofer-Gesellschaft, es auf den Punkt „Nachhaltiges Bauen und modernste hochtechnische Forschungsinfrastruktur, das ist möglich. Sowohl außen als auch innen waren Nachhaltigkeit und Energieeffizienz beim Bau unsere oberste Prämisse“ und ergänzte „Die Fassade des Technikums ist beispielsweise mit verzinkten Stahlplatten verkleidet. Stahl leistet einen wichtigen Beitrag zur Null-Abfallwirtschaft. Der Stahl kann vollständig recycelt werden. Der Werkstoffkreislauf ist somit geschlossen, ganz ohne Qualitätsverlust.“</w:t>
      </w:r>
    </w:p>
    <w:p w:rsidR="00103620" w:rsidRPr="00103620" w:rsidRDefault="00103620" w:rsidP="00103620">
      <w:pPr>
        <w:autoSpaceDE w:val="0"/>
        <w:autoSpaceDN w:val="0"/>
        <w:adjustRightInd w:val="0"/>
        <w:textAlignment w:val="center"/>
        <w:rPr>
          <w:rFonts w:ascii="Gill Sans" w:hAnsi="Gill Sans" w:cs="Calibri"/>
          <w:color w:val="000000"/>
          <w:spacing w:val="2"/>
          <w:sz w:val="22"/>
          <w:szCs w:val="22"/>
        </w:rPr>
      </w:pPr>
    </w:p>
    <w:p w:rsidR="00103620" w:rsidRPr="00103620" w:rsidRDefault="00103620" w:rsidP="00103620">
      <w:pPr>
        <w:autoSpaceDE w:val="0"/>
        <w:autoSpaceDN w:val="0"/>
        <w:adjustRightInd w:val="0"/>
        <w:textAlignment w:val="center"/>
        <w:rPr>
          <w:rFonts w:ascii="Gill Sans" w:hAnsi="Gill Sans" w:cs="Calibri"/>
          <w:color w:val="000000"/>
          <w:spacing w:val="2"/>
          <w:sz w:val="22"/>
          <w:szCs w:val="22"/>
        </w:rPr>
      </w:pPr>
    </w:p>
    <w:p w:rsidR="00103620" w:rsidRDefault="00103620" w:rsidP="00103620">
      <w:pPr>
        <w:autoSpaceDE w:val="0"/>
        <w:autoSpaceDN w:val="0"/>
        <w:adjustRightInd w:val="0"/>
        <w:textAlignment w:val="center"/>
        <w:rPr>
          <w:rFonts w:ascii="Gill Sans" w:hAnsi="Gill Sans" w:cs="Calibri"/>
          <w:color w:val="000000"/>
          <w:spacing w:val="2"/>
          <w:sz w:val="22"/>
          <w:szCs w:val="22"/>
        </w:rPr>
      </w:pPr>
      <w:r w:rsidRPr="00103620">
        <w:rPr>
          <w:rFonts w:ascii="Gill Sans" w:hAnsi="Gill Sans" w:cs="Calibri"/>
          <w:color w:val="000000"/>
          <w:spacing w:val="2"/>
          <w:sz w:val="22"/>
          <w:szCs w:val="22"/>
        </w:rPr>
        <w:t xml:space="preserve">Das Fraunhofer IWKS forscht zu den Themen Wertstoffkreisläufe und effiziente sowie nachhaltige Ressourcenstrategien. Ziel der Forschung ist es, eine geschlossene Kreislaufwirtschaft zu etablieren und Abfälle zu vermeiden, indem wertvolle Rohstoffe zurückgewonnen und wiederverwertet oder aber durch nachhaltige Alternativen ersetzt werden. Aus den Forschungszielen des Fraunhofer IWKS leiteten sich auch die Anforderungen an das eigene Gebäude ab und hatten beim Entwurf und der Planung durch </w:t>
      </w:r>
      <w:proofErr w:type="spellStart"/>
      <w:r w:rsidRPr="00103620">
        <w:rPr>
          <w:rFonts w:ascii="Gill Sans" w:hAnsi="Gill Sans" w:cs="Calibri"/>
          <w:color w:val="000000"/>
          <w:spacing w:val="2"/>
          <w:sz w:val="22"/>
          <w:szCs w:val="22"/>
        </w:rPr>
        <w:t>hammeskrause</w:t>
      </w:r>
      <w:proofErr w:type="spellEnd"/>
      <w:r w:rsidRPr="00103620">
        <w:rPr>
          <w:rFonts w:ascii="Gill Sans" w:hAnsi="Gill Sans" w:cs="Calibri"/>
          <w:color w:val="000000"/>
          <w:spacing w:val="2"/>
          <w:sz w:val="22"/>
          <w:szCs w:val="22"/>
        </w:rPr>
        <w:t xml:space="preserve"> architekten höchste Priorität. Eine sortenreine Rückbaubarkeit der verwendeten Materialien war dabei eine elementare Voraussetzung für das zirkuläre und nachhaltige Bauen. </w:t>
      </w:r>
    </w:p>
    <w:p w:rsidR="00B251F7" w:rsidRPr="00103620" w:rsidRDefault="00B251F7" w:rsidP="00103620">
      <w:pPr>
        <w:autoSpaceDE w:val="0"/>
        <w:autoSpaceDN w:val="0"/>
        <w:adjustRightInd w:val="0"/>
        <w:textAlignment w:val="center"/>
        <w:rPr>
          <w:rFonts w:ascii="Gill Sans" w:hAnsi="Gill Sans" w:cs="Calibri"/>
          <w:color w:val="000000"/>
          <w:spacing w:val="2"/>
          <w:sz w:val="22"/>
          <w:szCs w:val="22"/>
        </w:rPr>
      </w:pPr>
    </w:p>
    <w:p w:rsidR="00103620" w:rsidRPr="00103620" w:rsidRDefault="00103620" w:rsidP="00103620">
      <w:pPr>
        <w:autoSpaceDE w:val="0"/>
        <w:autoSpaceDN w:val="0"/>
        <w:adjustRightInd w:val="0"/>
        <w:textAlignment w:val="center"/>
        <w:rPr>
          <w:rFonts w:ascii="Gill Sans" w:hAnsi="Gill Sans" w:cs="Calibri"/>
          <w:color w:val="000000"/>
          <w:spacing w:val="2"/>
          <w:sz w:val="22"/>
          <w:szCs w:val="22"/>
        </w:rPr>
      </w:pPr>
      <w:r w:rsidRPr="00103620">
        <w:rPr>
          <w:rFonts w:ascii="Gill Sans" w:hAnsi="Gill Sans" w:cs="Calibri"/>
          <w:color w:val="000000"/>
          <w:spacing w:val="2"/>
          <w:sz w:val="22"/>
          <w:szCs w:val="22"/>
        </w:rPr>
        <w:t xml:space="preserve">„Wir haben uns bei der Wahl des Fassadenmaterials für Stahl und Zink entschieden, da beide Werkstoffe in idealer Weise den Prinzipien des </w:t>
      </w:r>
      <w:proofErr w:type="spellStart"/>
      <w:r w:rsidRPr="00103620">
        <w:rPr>
          <w:rFonts w:ascii="Gill Sans" w:hAnsi="Gill Sans" w:cs="Calibri"/>
          <w:color w:val="000000"/>
          <w:spacing w:val="2"/>
          <w:sz w:val="22"/>
          <w:szCs w:val="22"/>
        </w:rPr>
        <w:t>Cradle</w:t>
      </w:r>
      <w:proofErr w:type="spellEnd"/>
      <w:r w:rsidRPr="00103620">
        <w:rPr>
          <w:rFonts w:ascii="Gill Sans" w:hAnsi="Gill Sans" w:cs="Calibri"/>
          <w:color w:val="000000"/>
          <w:spacing w:val="2"/>
          <w:sz w:val="22"/>
          <w:szCs w:val="22"/>
        </w:rPr>
        <w:t xml:space="preserve"> </w:t>
      </w:r>
      <w:proofErr w:type="spellStart"/>
      <w:r w:rsidRPr="00103620">
        <w:rPr>
          <w:rFonts w:ascii="Gill Sans" w:hAnsi="Gill Sans" w:cs="Calibri"/>
          <w:color w:val="000000"/>
          <w:spacing w:val="2"/>
          <w:sz w:val="22"/>
          <w:szCs w:val="22"/>
        </w:rPr>
        <w:t>to</w:t>
      </w:r>
      <w:proofErr w:type="spellEnd"/>
      <w:r w:rsidRPr="00103620">
        <w:rPr>
          <w:rFonts w:ascii="Gill Sans" w:hAnsi="Gill Sans" w:cs="Calibri"/>
          <w:color w:val="000000"/>
          <w:spacing w:val="2"/>
          <w:sz w:val="22"/>
          <w:szCs w:val="22"/>
        </w:rPr>
        <w:t xml:space="preserve"> </w:t>
      </w:r>
      <w:proofErr w:type="spellStart"/>
      <w:r w:rsidRPr="00103620">
        <w:rPr>
          <w:rFonts w:ascii="Gill Sans" w:hAnsi="Gill Sans" w:cs="Calibri"/>
          <w:color w:val="000000"/>
          <w:spacing w:val="2"/>
          <w:sz w:val="22"/>
          <w:szCs w:val="22"/>
        </w:rPr>
        <w:t>Cradle</w:t>
      </w:r>
      <w:proofErr w:type="spellEnd"/>
      <w:r w:rsidRPr="00103620">
        <w:rPr>
          <w:rFonts w:ascii="Gill Sans" w:hAnsi="Gill Sans" w:cs="Calibri"/>
          <w:color w:val="000000"/>
          <w:spacing w:val="2"/>
          <w:sz w:val="22"/>
          <w:szCs w:val="22"/>
        </w:rPr>
        <w:t xml:space="preserve"> entsprechen. Die Feuerverzinkung gewährleistet eine Lebensdauer des Werkstoffs von 50 Jahren und mehr. Der Materialkreislauf wird also nicht nur verlängert und wirtschaftlich optimiert, sondern der Werkstoffkreislauf wird geschlossen“, so </w:t>
      </w:r>
      <w:proofErr w:type="spellStart"/>
      <w:r w:rsidRPr="00103620">
        <w:rPr>
          <w:rFonts w:ascii="Gill Sans" w:hAnsi="Gill Sans" w:cs="Calibri"/>
          <w:color w:val="000000"/>
          <w:spacing w:val="2"/>
          <w:sz w:val="22"/>
          <w:szCs w:val="22"/>
        </w:rPr>
        <w:t>hammeskrause</w:t>
      </w:r>
      <w:proofErr w:type="spellEnd"/>
      <w:r w:rsidRPr="00103620">
        <w:rPr>
          <w:rFonts w:ascii="Gill Sans" w:hAnsi="Gill Sans" w:cs="Calibri"/>
          <w:color w:val="000000"/>
          <w:spacing w:val="2"/>
          <w:sz w:val="22"/>
          <w:szCs w:val="22"/>
        </w:rPr>
        <w:t xml:space="preserve"> architekten. Entscheidend für eine nachhaltige Kreislaufwirtschaft ist auch der Verzicht auf Verbundwerkstoffe und der Einsatz von sortenrein trennbaren und rückbaubaren Materialien. Aber auch die Schadstofffreiheit der eingesetzten Baustoffe ist ein wichtiger Faktor für ein hochwertiges Recycling. Für das Technikum mit seiner markanten Sheddach-Konstruktion und das Werkstattgebäude kam auch deshalb eine vorgehängte, </w:t>
      </w:r>
      <w:proofErr w:type="spellStart"/>
      <w:r w:rsidRPr="00103620">
        <w:rPr>
          <w:rFonts w:ascii="Gill Sans" w:hAnsi="Gill Sans" w:cs="Calibri"/>
          <w:color w:val="000000"/>
          <w:spacing w:val="2"/>
          <w:sz w:val="22"/>
          <w:szCs w:val="22"/>
        </w:rPr>
        <w:t>hinterlüftete</w:t>
      </w:r>
      <w:proofErr w:type="spellEnd"/>
      <w:r w:rsidRPr="00103620">
        <w:rPr>
          <w:rFonts w:ascii="Gill Sans" w:hAnsi="Gill Sans" w:cs="Calibri"/>
          <w:color w:val="000000"/>
          <w:spacing w:val="2"/>
          <w:sz w:val="22"/>
          <w:szCs w:val="22"/>
        </w:rPr>
        <w:t xml:space="preserve"> Fassadenkonstruktion aus drei Millimeter starken feuerverzinkten Stahlblechtafeln zum Einsatz. </w:t>
      </w:r>
    </w:p>
    <w:p w:rsidR="00103620" w:rsidRPr="00103620" w:rsidRDefault="00103620" w:rsidP="00103620">
      <w:pPr>
        <w:autoSpaceDE w:val="0"/>
        <w:autoSpaceDN w:val="0"/>
        <w:adjustRightInd w:val="0"/>
        <w:textAlignment w:val="center"/>
        <w:rPr>
          <w:rFonts w:ascii="Gill Sans" w:hAnsi="Gill Sans" w:cs="Calibri"/>
          <w:color w:val="000000"/>
          <w:spacing w:val="2"/>
          <w:sz w:val="22"/>
          <w:szCs w:val="22"/>
        </w:rPr>
      </w:pPr>
    </w:p>
    <w:p w:rsidR="00103620" w:rsidRPr="00103620" w:rsidRDefault="00103620" w:rsidP="00103620">
      <w:pPr>
        <w:autoSpaceDE w:val="0"/>
        <w:autoSpaceDN w:val="0"/>
        <w:adjustRightInd w:val="0"/>
        <w:textAlignment w:val="center"/>
        <w:rPr>
          <w:rFonts w:ascii="Gill Sans" w:hAnsi="Gill Sans" w:cs="Calibri"/>
          <w:color w:val="000000"/>
          <w:spacing w:val="2"/>
          <w:sz w:val="22"/>
          <w:szCs w:val="22"/>
        </w:rPr>
      </w:pPr>
      <w:r w:rsidRPr="00103620">
        <w:rPr>
          <w:rFonts w:ascii="Gill Sans" w:hAnsi="Gill Sans" w:cs="Calibri"/>
          <w:color w:val="000000"/>
          <w:spacing w:val="2"/>
          <w:sz w:val="22"/>
          <w:szCs w:val="22"/>
        </w:rPr>
        <w:t xml:space="preserve">Das neue Gebäude des Fraunhofer IWKS bietet auf rund 2.600 Quadratmetern Raum für 80 Mitarbeitende. Das modulare Gesamtkonzept mit dem innovativen Ansatz einer »Forscherstraße« für eine unkomplizierte Anbindung aller Funktionsbereiche ermöglicht maximale Flexibilität für zukünftige Forschungsansätze und spätere Erweiterungen. Das Raumprogramm erfüllt unterschiedlichste Funktionen wie Büros, Labore, Technika und Sonderlabore. Der Neubau wurde nach den Richtlinien des Bewertungssystems Nachhaltiges Bauen für Bundesgebäude (BNB) erstellt. </w:t>
      </w:r>
    </w:p>
    <w:p w:rsidR="00103620" w:rsidRPr="00103620" w:rsidRDefault="00103620" w:rsidP="00103620">
      <w:pPr>
        <w:autoSpaceDE w:val="0"/>
        <w:autoSpaceDN w:val="0"/>
        <w:adjustRightInd w:val="0"/>
        <w:textAlignment w:val="center"/>
        <w:rPr>
          <w:rFonts w:ascii="Gill Sans" w:hAnsi="Gill Sans" w:cs="Calibri"/>
          <w:color w:val="000000"/>
          <w:spacing w:val="2"/>
          <w:sz w:val="22"/>
          <w:szCs w:val="22"/>
        </w:rPr>
      </w:pPr>
    </w:p>
    <w:p w:rsidR="00103620" w:rsidRPr="00657D04" w:rsidRDefault="00103620" w:rsidP="00103620">
      <w:pPr>
        <w:autoSpaceDE w:val="0"/>
        <w:autoSpaceDN w:val="0"/>
        <w:adjustRightInd w:val="0"/>
        <w:textAlignment w:val="center"/>
        <w:rPr>
          <w:rFonts w:ascii="Gill Sans" w:hAnsi="Gill Sans" w:cs="Calibri"/>
          <w:color w:val="000000"/>
          <w:sz w:val="22"/>
          <w:szCs w:val="22"/>
        </w:rPr>
      </w:pPr>
      <w:r w:rsidRPr="00103620">
        <w:rPr>
          <w:rFonts w:ascii="Gill Sans" w:hAnsi="Gill Sans" w:cs="Calibri"/>
          <w:color w:val="000000"/>
          <w:sz w:val="22"/>
          <w:szCs w:val="22"/>
        </w:rPr>
        <w:t xml:space="preserve">Mehr erfahren: Nachhaltigkeit von feuerverzinktem Stahl: </w:t>
      </w:r>
      <w:r w:rsidRPr="00657D04">
        <w:rPr>
          <w:rFonts w:ascii="Gill Sans" w:hAnsi="Gill Sans" w:cs="Calibri"/>
          <w:iCs/>
          <w:color w:val="000000" w:themeColor="text1"/>
          <w:spacing w:val="2"/>
          <w:sz w:val="22"/>
          <w:szCs w:val="22"/>
        </w:rPr>
        <w:t>feuerverzinken.com/</w:t>
      </w:r>
      <w:proofErr w:type="spellStart"/>
      <w:r w:rsidRPr="00657D04">
        <w:rPr>
          <w:rFonts w:ascii="Gill Sans" w:hAnsi="Gill Sans" w:cs="Calibri"/>
          <w:iCs/>
          <w:color w:val="000000" w:themeColor="text1"/>
          <w:spacing w:val="2"/>
          <w:sz w:val="22"/>
          <w:szCs w:val="22"/>
        </w:rPr>
        <w:t>nachhaltigkeit</w:t>
      </w:r>
      <w:proofErr w:type="spellEnd"/>
    </w:p>
    <w:p w:rsidR="00103620" w:rsidRPr="00657D04" w:rsidRDefault="00103620" w:rsidP="00103620">
      <w:pPr>
        <w:autoSpaceDE w:val="0"/>
        <w:autoSpaceDN w:val="0"/>
        <w:adjustRightInd w:val="0"/>
        <w:textAlignment w:val="center"/>
        <w:rPr>
          <w:rFonts w:ascii="Gill Sans" w:hAnsi="Gill Sans" w:cs="Calibri"/>
          <w:iCs/>
          <w:color w:val="000000" w:themeColor="text1"/>
          <w:spacing w:val="2"/>
          <w:sz w:val="22"/>
          <w:szCs w:val="22"/>
        </w:rPr>
      </w:pPr>
      <w:r w:rsidRPr="00657D04">
        <w:rPr>
          <w:rFonts w:ascii="Gill Sans" w:hAnsi="Gill Sans" w:cs="Calibri"/>
          <w:color w:val="000000"/>
          <w:sz w:val="22"/>
          <w:szCs w:val="22"/>
        </w:rPr>
        <w:t xml:space="preserve">Feuerverzinkte Fassaden: </w:t>
      </w:r>
      <w:r w:rsidRPr="00657D04">
        <w:rPr>
          <w:rFonts w:ascii="Gill Sans" w:hAnsi="Gill Sans" w:cs="Calibri"/>
          <w:iCs/>
          <w:color w:val="000000" w:themeColor="text1"/>
          <w:spacing w:val="2"/>
          <w:sz w:val="22"/>
          <w:szCs w:val="22"/>
        </w:rPr>
        <w:t>feuerverzinken.com/</w:t>
      </w:r>
      <w:proofErr w:type="spellStart"/>
      <w:r w:rsidRPr="00657D04">
        <w:rPr>
          <w:rFonts w:ascii="Gill Sans" w:hAnsi="Gill Sans" w:cs="Calibri"/>
          <w:iCs/>
          <w:color w:val="000000" w:themeColor="text1"/>
          <w:spacing w:val="2"/>
          <w:sz w:val="22"/>
          <w:szCs w:val="22"/>
        </w:rPr>
        <w:t>fassaden</w:t>
      </w:r>
      <w:proofErr w:type="spellEnd"/>
    </w:p>
    <w:p w:rsidR="00103620" w:rsidRDefault="00103620" w:rsidP="00103620">
      <w:pPr>
        <w:autoSpaceDE w:val="0"/>
        <w:autoSpaceDN w:val="0"/>
        <w:adjustRightInd w:val="0"/>
        <w:textAlignment w:val="center"/>
        <w:rPr>
          <w:rFonts w:ascii="Gill Sans" w:hAnsi="Gill Sans" w:cs="Calibri"/>
          <w:color w:val="000000"/>
          <w:sz w:val="22"/>
          <w:szCs w:val="22"/>
        </w:rPr>
      </w:pPr>
    </w:p>
    <w:p w:rsidR="00103620" w:rsidRPr="00103620" w:rsidRDefault="00103620" w:rsidP="00103620">
      <w:pPr>
        <w:autoSpaceDE w:val="0"/>
        <w:autoSpaceDN w:val="0"/>
        <w:adjustRightInd w:val="0"/>
        <w:textAlignment w:val="center"/>
        <w:rPr>
          <w:rFonts w:ascii="Gill Sans" w:hAnsi="Gill Sans" w:cs="Calibri"/>
          <w:b/>
          <w:color w:val="000000"/>
          <w:sz w:val="22"/>
          <w:szCs w:val="22"/>
        </w:rPr>
      </w:pPr>
      <w:r w:rsidRPr="00103620">
        <w:rPr>
          <w:rFonts w:ascii="Gill Sans" w:hAnsi="Gill Sans" w:cs="Calibri"/>
          <w:b/>
          <w:color w:val="000000"/>
          <w:sz w:val="22"/>
          <w:szCs w:val="22"/>
        </w:rPr>
        <w:t>Abbildungen:</w:t>
      </w:r>
      <w:bookmarkStart w:id="0" w:name="_GoBack"/>
      <w:bookmarkEnd w:id="0"/>
    </w:p>
    <w:p w:rsidR="00103620" w:rsidRPr="00103620" w:rsidRDefault="00103620" w:rsidP="00103620">
      <w:pPr>
        <w:autoSpaceDE w:val="0"/>
        <w:autoSpaceDN w:val="0"/>
        <w:adjustRightInd w:val="0"/>
        <w:textAlignment w:val="center"/>
        <w:rPr>
          <w:rFonts w:ascii="Gill Sans" w:hAnsi="Gill Sans" w:cs="Calibri"/>
          <w:iCs/>
          <w:color w:val="72AD41"/>
          <w:spacing w:val="2"/>
          <w:sz w:val="22"/>
          <w:szCs w:val="22"/>
        </w:rPr>
      </w:pPr>
      <w:r w:rsidRPr="00103620">
        <w:rPr>
          <w:rFonts w:ascii="Gill Sans" w:hAnsi="Gill Sans" w:cs="Calibri"/>
          <w:iCs/>
          <w:color w:val="000000" w:themeColor="text1"/>
          <w:spacing w:val="2"/>
          <w:sz w:val="22"/>
          <w:szCs w:val="22"/>
        </w:rPr>
        <w:t>Abb. 1: Die Fassade des Technikums wurde mit feuerverzinkten Stahlplatten verkleidet.</w:t>
      </w:r>
    </w:p>
    <w:p w:rsidR="00103620" w:rsidRPr="00103620" w:rsidRDefault="00103620" w:rsidP="00103620">
      <w:pPr>
        <w:autoSpaceDE w:val="0"/>
        <w:autoSpaceDN w:val="0"/>
        <w:adjustRightInd w:val="0"/>
        <w:textAlignment w:val="center"/>
        <w:rPr>
          <w:rFonts w:ascii="Gill Sans" w:hAnsi="Gill Sans" w:cs="Calibri"/>
          <w:iCs/>
          <w:color w:val="72AD41"/>
          <w:spacing w:val="2"/>
          <w:sz w:val="22"/>
          <w:szCs w:val="22"/>
        </w:rPr>
      </w:pPr>
      <w:r w:rsidRPr="00103620">
        <w:rPr>
          <w:rFonts w:ascii="Gill Sans" w:hAnsi="Gill Sans" w:cs="Calibri"/>
          <w:iCs/>
          <w:color w:val="000000" w:themeColor="text1"/>
          <w:spacing w:val="2"/>
          <w:sz w:val="22"/>
          <w:szCs w:val="22"/>
        </w:rPr>
        <w:t xml:space="preserve">Abb. 2: Entspricht den Prinzipien des </w:t>
      </w:r>
      <w:proofErr w:type="spellStart"/>
      <w:r w:rsidRPr="00103620">
        <w:rPr>
          <w:rFonts w:ascii="Gill Sans" w:hAnsi="Gill Sans" w:cs="Calibri"/>
          <w:iCs/>
          <w:color w:val="000000" w:themeColor="text1"/>
          <w:spacing w:val="2"/>
          <w:sz w:val="22"/>
          <w:szCs w:val="22"/>
        </w:rPr>
        <w:t>Cradle</w:t>
      </w:r>
      <w:proofErr w:type="spellEnd"/>
      <w:r w:rsidRPr="00103620">
        <w:rPr>
          <w:rFonts w:ascii="Gill Sans" w:hAnsi="Gill Sans" w:cs="Calibri"/>
          <w:iCs/>
          <w:color w:val="000000" w:themeColor="text1"/>
          <w:spacing w:val="2"/>
          <w:sz w:val="22"/>
          <w:szCs w:val="22"/>
        </w:rPr>
        <w:t xml:space="preserve"> </w:t>
      </w:r>
      <w:proofErr w:type="spellStart"/>
      <w:r w:rsidRPr="00103620">
        <w:rPr>
          <w:rFonts w:ascii="Gill Sans" w:hAnsi="Gill Sans" w:cs="Calibri"/>
          <w:iCs/>
          <w:color w:val="000000" w:themeColor="text1"/>
          <w:spacing w:val="2"/>
          <w:sz w:val="22"/>
          <w:szCs w:val="22"/>
        </w:rPr>
        <w:t>to</w:t>
      </w:r>
      <w:proofErr w:type="spellEnd"/>
      <w:r w:rsidRPr="00103620">
        <w:rPr>
          <w:rFonts w:ascii="Gill Sans" w:hAnsi="Gill Sans" w:cs="Calibri"/>
          <w:iCs/>
          <w:color w:val="000000" w:themeColor="text1"/>
          <w:spacing w:val="2"/>
          <w:sz w:val="22"/>
          <w:szCs w:val="22"/>
        </w:rPr>
        <w:t xml:space="preserve"> </w:t>
      </w:r>
      <w:proofErr w:type="spellStart"/>
      <w:r w:rsidRPr="00103620">
        <w:rPr>
          <w:rFonts w:ascii="Gill Sans" w:hAnsi="Gill Sans" w:cs="Calibri"/>
          <w:iCs/>
          <w:color w:val="000000" w:themeColor="text1"/>
          <w:spacing w:val="2"/>
          <w:sz w:val="22"/>
          <w:szCs w:val="22"/>
        </w:rPr>
        <w:t>Cradle</w:t>
      </w:r>
      <w:proofErr w:type="spellEnd"/>
      <w:r w:rsidRPr="00103620">
        <w:rPr>
          <w:rFonts w:ascii="Gill Sans" w:hAnsi="Gill Sans" w:cs="Calibri"/>
          <w:iCs/>
          <w:color w:val="000000" w:themeColor="text1"/>
          <w:spacing w:val="2"/>
          <w:sz w:val="22"/>
          <w:szCs w:val="22"/>
        </w:rPr>
        <w:t>: Die Fassade aus Stahl und Zink.</w:t>
      </w:r>
    </w:p>
    <w:p w:rsidR="00103620" w:rsidRPr="00103620" w:rsidRDefault="00103620" w:rsidP="00103620">
      <w:pPr>
        <w:autoSpaceDE w:val="0"/>
        <w:autoSpaceDN w:val="0"/>
        <w:adjustRightInd w:val="0"/>
        <w:textAlignment w:val="center"/>
        <w:rPr>
          <w:rFonts w:ascii="Gill Sans" w:hAnsi="Gill Sans" w:cs="Calibri"/>
          <w:iCs/>
          <w:color w:val="000000" w:themeColor="text1"/>
          <w:spacing w:val="2"/>
          <w:sz w:val="22"/>
          <w:szCs w:val="22"/>
        </w:rPr>
      </w:pPr>
      <w:r w:rsidRPr="00103620">
        <w:rPr>
          <w:rFonts w:ascii="Gill Sans" w:hAnsi="Gill Sans" w:cs="Calibri"/>
          <w:iCs/>
          <w:color w:val="000000" w:themeColor="text1"/>
          <w:spacing w:val="2"/>
          <w:sz w:val="22"/>
          <w:szCs w:val="22"/>
        </w:rPr>
        <w:t>Abb. 3: Der Neubau erfüllt die Anforderungen des Bewertungssystems Nachhaltiges Bauen für Bundesgebäude (BNB).</w:t>
      </w:r>
    </w:p>
    <w:p w:rsidR="00103620" w:rsidRPr="00103620" w:rsidRDefault="00103620" w:rsidP="00103620">
      <w:pPr>
        <w:autoSpaceDE w:val="0"/>
        <w:autoSpaceDN w:val="0"/>
        <w:adjustRightInd w:val="0"/>
        <w:textAlignment w:val="center"/>
        <w:rPr>
          <w:rFonts w:ascii="Gill Sans" w:hAnsi="Gill Sans" w:cs="Calibri"/>
          <w:color w:val="000000"/>
          <w:sz w:val="22"/>
          <w:szCs w:val="22"/>
        </w:rPr>
      </w:pPr>
    </w:p>
    <w:p w:rsidR="00103620" w:rsidRPr="00103620" w:rsidRDefault="00103620" w:rsidP="00103620">
      <w:pPr>
        <w:tabs>
          <w:tab w:val="left" w:pos="241"/>
        </w:tabs>
        <w:autoSpaceDE w:val="0"/>
        <w:autoSpaceDN w:val="0"/>
        <w:adjustRightInd w:val="0"/>
        <w:textAlignment w:val="center"/>
        <w:rPr>
          <w:rFonts w:ascii="Gill Sans" w:hAnsi="Gill Sans" w:cs="Calibri"/>
          <w:i/>
          <w:iCs/>
          <w:color w:val="000000" w:themeColor="text1"/>
          <w:spacing w:val="2"/>
          <w:sz w:val="22"/>
          <w:szCs w:val="22"/>
        </w:rPr>
      </w:pPr>
      <w:r w:rsidRPr="00103620">
        <w:rPr>
          <w:rFonts w:ascii="Gill Sans" w:hAnsi="Gill Sans" w:cs="Calibri"/>
          <w:b/>
          <w:bCs/>
          <w:color w:val="000000"/>
          <w:spacing w:val="2"/>
          <w:sz w:val="22"/>
          <w:szCs w:val="22"/>
        </w:rPr>
        <w:t>Fotos</w:t>
      </w:r>
      <w:r>
        <w:rPr>
          <w:rFonts w:ascii="Gill Sans" w:hAnsi="Gill Sans" w:cs="Calibri"/>
          <w:b/>
          <w:bCs/>
          <w:color w:val="000000"/>
          <w:spacing w:val="2"/>
          <w:sz w:val="22"/>
          <w:szCs w:val="22"/>
        </w:rPr>
        <w:t>:</w:t>
      </w:r>
      <w:r w:rsidRPr="00103620">
        <w:rPr>
          <w:rFonts w:ascii="Arial" w:hAnsi="Arial" w:cs="Arial"/>
          <w:b/>
          <w:bCs/>
          <w:color w:val="000000"/>
          <w:spacing w:val="2"/>
          <w:sz w:val="22"/>
          <w:szCs w:val="22"/>
        </w:rPr>
        <w:t> </w:t>
      </w:r>
      <w:r w:rsidRPr="00103620">
        <w:rPr>
          <w:rFonts w:ascii="Gill Sans" w:hAnsi="Gill Sans" w:cs="Calibri"/>
          <w:iCs/>
          <w:color w:val="000000" w:themeColor="text1"/>
          <w:spacing w:val="2"/>
          <w:sz w:val="22"/>
          <w:szCs w:val="22"/>
        </w:rPr>
        <w:t>Wolf-Dieter Gericke</w:t>
      </w:r>
      <w:r w:rsidRPr="00103620">
        <w:rPr>
          <w:rFonts w:ascii="Gill Sans" w:hAnsi="Gill Sans" w:cs="Calibri"/>
          <w:i/>
          <w:iCs/>
          <w:color w:val="000000" w:themeColor="text1"/>
          <w:spacing w:val="2"/>
          <w:sz w:val="22"/>
          <w:szCs w:val="22"/>
        </w:rPr>
        <w:t xml:space="preserve"> </w:t>
      </w:r>
    </w:p>
    <w:p w:rsidR="00AB0785" w:rsidRDefault="00AB0785" w:rsidP="00103620">
      <w:pPr>
        <w:rPr>
          <w:rFonts w:ascii="Gill Sans" w:hAnsi="Gill Sans"/>
        </w:rPr>
      </w:pPr>
    </w:p>
    <w:p w:rsidR="00B251F7" w:rsidRDefault="00B251F7" w:rsidP="00103620">
      <w:pPr>
        <w:contextualSpacing/>
        <w:rPr>
          <w:rFonts w:ascii="Gill Sans" w:hAnsi="Gill Sans"/>
          <w:b/>
          <w:sz w:val="22"/>
          <w:szCs w:val="22"/>
        </w:rPr>
      </w:pPr>
    </w:p>
    <w:p w:rsidR="00103620" w:rsidRPr="00103620" w:rsidRDefault="00103620" w:rsidP="00103620">
      <w:pPr>
        <w:contextualSpacing/>
        <w:rPr>
          <w:rFonts w:ascii="Gill Sans" w:hAnsi="Gill Sans"/>
          <w:b/>
          <w:sz w:val="22"/>
          <w:szCs w:val="22"/>
        </w:rPr>
      </w:pPr>
      <w:proofErr w:type="spellStart"/>
      <w:r w:rsidRPr="00103620">
        <w:rPr>
          <w:rFonts w:ascii="Gill Sans" w:hAnsi="Gill Sans"/>
          <w:b/>
          <w:sz w:val="22"/>
          <w:szCs w:val="22"/>
        </w:rPr>
        <w:lastRenderedPageBreak/>
        <w:t>Backgrounder</w:t>
      </w:r>
      <w:proofErr w:type="spellEnd"/>
      <w:r w:rsidRPr="00103620">
        <w:rPr>
          <w:rFonts w:ascii="Gill Sans" w:hAnsi="Gill Sans"/>
          <w:b/>
          <w:sz w:val="22"/>
          <w:szCs w:val="22"/>
        </w:rPr>
        <w:t>:</w:t>
      </w:r>
    </w:p>
    <w:p w:rsidR="00103620" w:rsidRPr="00103620" w:rsidRDefault="00103620" w:rsidP="00103620">
      <w:pPr>
        <w:contextualSpacing/>
        <w:rPr>
          <w:rFonts w:ascii="Gill Sans" w:hAnsi="Gill Sans"/>
          <w:sz w:val="22"/>
          <w:szCs w:val="22"/>
        </w:rPr>
      </w:pPr>
      <w:r w:rsidRPr="00103620">
        <w:rPr>
          <w:rFonts w:ascii="Gill Sans" w:hAnsi="Gill Sans"/>
          <w:sz w:val="22"/>
          <w:szCs w:val="22"/>
        </w:rPr>
        <w:t>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www.feuerverzinken.com.</w:t>
      </w:r>
    </w:p>
    <w:p w:rsidR="00103620" w:rsidRPr="00103620" w:rsidRDefault="00103620">
      <w:pPr>
        <w:rPr>
          <w:rFonts w:ascii="Gill Sans" w:hAnsi="Gill Sans"/>
        </w:rPr>
      </w:pPr>
    </w:p>
    <w:sectPr w:rsidR="00103620" w:rsidRPr="001036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Text22L-Medium">
    <w:altName w:val="Calibri"/>
    <w:panose1 w:val="00000000000000000000"/>
    <w:charset w:val="4D"/>
    <w:family w:val="auto"/>
    <w:pitch w:val="default"/>
    <w:sig w:usb0="00000003" w:usb1="00000000" w:usb2="00000000" w:usb3="00000000" w:csb0="00000001"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20"/>
    <w:rsid w:val="00103620"/>
    <w:rsid w:val="00657D04"/>
    <w:rsid w:val="00AB0785"/>
    <w:rsid w:val="00B25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922B"/>
  <w15:chartTrackingRefBased/>
  <w15:docId w15:val="{A614412B-BEC4-4FC6-AE17-07DD5F53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3620"/>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head">
    <w:name w:val="Subhead"/>
    <w:basedOn w:val="Standard"/>
    <w:uiPriority w:val="99"/>
    <w:rsid w:val="00103620"/>
    <w:pPr>
      <w:autoSpaceDE w:val="0"/>
      <w:autoSpaceDN w:val="0"/>
      <w:adjustRightInd w:val="0"/>
      <w:spacing w:line="288" w:lineRule="auto"/>
      <w:ind w:left="113"/>
      <w:textAlignment w:val="center"/>
    </w:pPr>
    <w:rPr>
      <w:rFonts w:ascii="TitilliumText22L-Medium" w:hAnsi="TitilliumText22L-Medium" w:cs="TitilliumText22L-Medium"/>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3</cp:revision>
  <dcterms:created xsi:type="dcterms:W3CDTF">2021-08-24T07:09:00Z</dcterms:created>
  <dcterms:modified xsi:type="dcterms:W3CDTF">2021-08-30T09:48:00Z</dcterms:modified>
</cp:coreProperties>
</file>